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18"/>
          <w:shd w:fill="FFFFFF" w:val="clear"/>
        </w:rPr>
      </w:pPr>
      <w:r>
        <w:rPr>
          <w:rFonts w:ascii="Calibri" w:hAnsi="Calibri" w:cs="Calibri" w:eastAsia="Calibri"/>
          <w:b/>
          <w:color w:val="1F4E79"/>
          <w:spacing w:val="0"/>
          <w:position w:val="0"/>
          <w:sz w:val="18"/>
          <w:shd w:fill="FFFFFF" w:val="clear"/>
        </w:rPr>
        <w:t xml:space="preserve">Inform</w:t>
      </w:r>
      <w:r>
        <w:rPr>
          <w:rFonts w:ascii="Calibri" w:hAnsi="Calibri" w:cs="Calibri" w:eastAsia="Calibri"/>
          <w:b/>
          <w:color w:val="1F4E79"/>
          <w:spacing w:val="0"/>
          <w:position w:val="0"/>
          <w:sz w:val="18"/>
          <w:shd w:fill="FFFFFF" w:val="clear"/>
        </w:rPr>
        <w:t xml:space="preserve">ātikas skolotāju starpnovadu metodiskās apvienības darba plāns </w:t>
        <w:br/>
        <w:t xml:space="preserve">2017./2018. mācību gadam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E79"/>
          <w:spacing w:val="0"/>
          <w:position w:val="0"/>
          <w:sz w:val="16"/>
          <w:shd w:fill="FFFFFF" w:val="clear"/>
        </w:rPr>
      </w:pPr>
    </w:p>
    <w:tbl>
      <w:tblPr/>
      <w:tblGrid>
        <w:gridCol w:w="425"/>
        <w:gridCol w:w="2366"/>
        <w:gridCol w:w="2908"/>
        <w:gridCol w:w="2301"/>
        <w:gridCol w:w="2268"/>
      </w:tblGrid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Nr.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Pas</w:t>
            </w: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ākums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ērķis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Laiks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Vieta, iesaist</w:t>
            </w:r>
            <w:r>
              <w:rPr>
                <w:rFonts w:ascii="Calibri" w:hAnsi="Calibri" w:cs="Calibri" w:eastAsia="Calibri"/>
                <w:b/>
                <w:color w:val="1F4E79"/>
                <w:spacing w:val="0"/>
                <w:position w:val="0"/>
                <w:sz w:val="18"/>
                <w:shd w:fill="FFFFFF" w:val="clear"/>
              </w:rPr>
              <w:t xml:space="preserve">ītie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MA semin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ārs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Atskats uz iepriek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šējo mācību gadu, jaunā plāna projekta izveide, datorikas pilotētāju semināra materiāli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2017. gada 18. augusts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Daudzese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MA vad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ītāju seminārs/ semināri  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Ieg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ūt informāciju, dalīties pieredzē ar citiem MA vadītājiem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ēc VISC grafika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IZM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5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Savastarp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ēja virtuāla saziņa mācību gada aktivitāšu izziņošanai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Inform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ēt MA dalībniekus par aktuālo Informātikas, Datorikas un Programmēšanas pamatu mācīšanā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Augusts- J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ūnijs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ēstkopa, Skype konferences, MA vietne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Darba pl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āna sastādīšana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Rad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īt mācību gada pasākumu kalendāro un saturisko ietvaru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2017. g. 18.08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Semin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āra laikā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7.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Darba pl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āna saskaņošana MA ietvaros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Izveidot un public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ēt precīzu darba plānojumu mācību gadam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Septembra 1. ned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ēļa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Online sazi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ņas režīmā</w:t>
            </w:r>
          </w:p>
        </w:tc>
      </w:tr>
      <w:tr>
        <w:trPr>
          <w:trHeight w:val="924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8. 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ība I-novuss festivālā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ūt ieskatu jaunākajās tehnoloģiju attīstības tendencēs un kiberdrošības jautājumos, rast ierosmi radošam darbam skolās.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2017. g. 25. un 26. augusts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Lucavsala, R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īga, pieteikšanās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1F4E79"/>
                  <w:spacing w:val="0"/>
                  <w:position w:val="0"/>
                  <w:sz w:val="18"/>
                  <w:u w:val="single"/>
                  <w:shd w:fill="FFFFFF" w:val="clear"/>
                </w:rPr>
                <w:t xml:space="preserve">http://www.inovuss.lv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9.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Datorikas priek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šmeta secīga ieviešana/ aprobēšana pilotskolās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Turpin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āt izmēģināt piedāvātos mācību materiālus, izvērtēt skolotāju spēju veiksmīgi pasniegt un skolēnu spēju apgūt jauno priekšmetu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Visa 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ācību gada garumā skolu izvēlētajos vecumposmos, savstarpēji konsultējoties apvienības semināros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Aizkraukles novada vidusskola, Daudzeses pamatskola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10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LATSTe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Ieg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ūt informāciju par jaunumiem  IT izmantošanā izglītībā.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26. oktobris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Ogre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11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Konkurss Bebrs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 ieinteresētība datorpriekšmetu apguvē un pielietojumā, viņu loģikas un algoritmiskās domāšanas spēju salīdzināšana ārpusskolas mērogā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Sekot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http://www.bebrs.edu.lv/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auto" w:val="clear"/>
              </w:rPr>
              <w:t xml:space="preserve">Oktobris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Online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12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Skolot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āju apmācība</w:t>
              <w:tab/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3D konstru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ēšana un druka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Online kursi uzdevumi.lv port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Septembris- novembris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1. semestris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ANV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13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Programm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ēšanas olimpiāde novadā/ valstī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 spēju pārbaude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16. janv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ris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ās/ online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14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E-prasmju ned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ēļas pasākumu organizēšana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ēnu, pedagogu un sabiedrības pārstāvju datorkompetenču paaugstināšana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Saska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ņā ar LIKTA plānu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ās, novados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15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Darba grupas san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āksme pamatskolas olimpiādes sagatavotājiem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Izstr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ādāt konceptuāli jaunu olimpiādes uzdevumu- kā kompleksi risināmu problēmu, skolēniem patstāvīgi izvēloties lietojamos rīkus un strādājot pāros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Decembris, p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ēc G. Rozīša norādēm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Koordinators- G. Roz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ītis, darba grupa- pamatskolas skolotāji, ANV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16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Starpnovadu pamatskolas olimpi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āde (6. un 7.klasei), skolotāju seminārs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Pamatskolas 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 spēju pārbaude, salīdzinot ar citu skolu audzēkņiem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2. semestra aktivit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āšu apspriešana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2. marts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ANV, koordinators A. Romanovska,  darba grup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ā- vidusskolas skolotāji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17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Vidusskolas inform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ātikas olimpiāde 10.-12. klasei un uzdevumu sagatavošana tai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Vidusskolas 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 spēju pārbaude, salīdzinot ar citu skolu audzēkņiem.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Daudzveid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īgu uzdevumu veidošana, iesaistot vairākus pedagogus 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6. apr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īlis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ANV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15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Olimpi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āde 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Pask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āla ritenis”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ēnu spēju pārbaude spēcīgas konkurences apstākļos, viņu motivēšana mācību sasniegumiem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Saska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ņā ar informāciju DU mājas lapā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2017. gada marts- apr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īlis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Daugavpils universit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āte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16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Monitoringa darba organiz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ēšana un norise 7.klasei informātikā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Konstat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ēt skolēnu kompetences līmeni pēc priekšmeta apguves pamatskolas posmā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Maija 1. un 2. ned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ēļa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ās, uzdevumu sastādīšanu koordinē Skrīveru skolotāji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17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Eks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āmena organizēšana un norise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Zin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āšanu gala pārbaudījums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2017. gada  maijs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ās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18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Eks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āmena un rezultātu apkopojums 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Zin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āšanu līmeņa izvērtējums un analīze starpskolu griezumā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ūnjs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Skol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ās, </w:t>
            </w:r>
            <w:r>
              <w:rPr>
                <w:rFonts w:ascii="Calibri" w:hAnsi="Calibri" w:cs="Calibri" w:eastAsia="Calibri"/>
                <w:i/>
                <w:color w:val="1F4E79"/>
                <w:spacing w:val="0"/>
                <w:position w:val="0"/>
                <w:sz w:val="18"/>
                <w:shd w:fill="FFFFFF" w:val="clear"/>
              </w:rPr>
              <w:t xml:space="preserve">on- line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 saziņā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19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Apvien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ības tīmekļa vietnes  uzturēšana, papildināšana</w:t>
            </w:r>
          </w:p>
        </w:tc>
        <w:tc>
          <w:tcPr>
            <w:tcW w:w="2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Inform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ētība, informācijas strukturēšana un saglabāšana, apvienības skolotāju iesasite metodiskās  informācijas uzkrāšanā, izplatīšanā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Visu  m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ācību gadu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1F4E79"/>
                <w:spacing w:val="0"/>
                <w:position w:val="0"/>
                <w:sz w:val="18"/>
                <w:shd w:fill="FFFFFF" w:val="clear"/>
              </w:rPr>
              <w:t xml:space="preserve">datorskolot</w:t>
            </w:r>
            <w:r>
              <w:rPr>
                <w:rFonts w:ascii="Calibri" w:hAnsi="Calibri" w:cs="Calibri" w:eastAsia="Calibri"/>
                <w:i/>
                <w:color w:val="1F4E79"/>
                <w:spacing w:val="0"/>
                <w:position w:val="0"/>
                <w:sz w:val="18"/>
                <w:shd w:fill="FFFFFF" w:val="clear"/>
              </w:rPr>
              <w:t xml:space="preserve">āju-ma.mozello.lv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8"/>
                <w:shd w:fill="FFFFFF" w:val="clear"/>
              </w:rPr>
              <w:t xml:space="preserve"> vietnē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E79"/>
          <w:spacing w:val="0"/>
          <w:position w:val="0"/>
          <w:sz w:val="1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novuss.lv/" Id="docRId0" Type="http://schemas.openxmlformats.org/officeDocument/2006/relationships/hyperlink" /><Relationship TargetMode="External" Target="http://www.bebrs.edu.lv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